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37"/>
        <w:tblW w:w="104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76"/>
        <w:gridCol w:w="5187"/>
        <w:gridCol w:w="3827"/>
      </w:tblGrid>
      <w:tr>
        <w:tblPrEx/>
        <w:trPr>
          <w:trHeight w:val="426"/>
        </w:trPr>
        <w:tc>
          <w:tcPr>
            <w:tcW w:w="14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18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blPrEx/>
        <w:trPr>
          <w:trHeight w:val="426"/>
        </w:trPr>
        <w:tc>
          <w:tcPr>
            <w:tcW w:w="14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00100" cy="757240"/>
                      <wp:effectExtent l="0" t="0" r="0" b="5080"/>
                      <wp:docPr id="1" name="Рисунок 3" descr="C:\Users\gomanenko_gv\Desktop\Герб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gomanenko_gv\Desktop\Герб.jp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15927" cy="8668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3.00pt;height:59.63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187" w:type="dxa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УПРАВЛЕНИЕ РОСРЕЕСТРА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ПО ИРКУТСКОЙ ОБЛАСТИ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3827" w:type="dxa"/>
            <w:vMerge w:val="restart"/>
            <w:textDirection w:val="lrTb"/>
            <w:noWrap w:val="false"/>
          </w:tcPr>
          <w:p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              25 августа 2026 </w:t>
            </w:r>
            <w:r>
              <w:rPr>
                <w:rFonts w:cs="Times New Roman"/>
                <w:sz w:val="24"/>
                <w:szCs w:val="24"/>
              </w:rPr>
              <w:t xml:space="preserve">года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>
          <w:trHeight w:val="553"/>
        </w:trPr>
        <w:tc>
          <w:tcPr>
            <w:tcW w:w="1476" w:type="dxa"/>
            <w:textDirection w:val="lrTb"/>
            <w:noWrap w:val="false"/>
          </w:tcPr>
          <w:p>
            <w:pPr>
              <w:ind w:firstLine="30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18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382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contextualSpacing/>
        <w:ind w:firstLine="426"/>
        <w:jc w:val="both"/>
        <w:spacing w:after="0" w:line="240" w:lineRule="auto"/>
        <w:rPr>
          <w:rFonts w:ascii="Arial" w:hAnsi="Arial" w:eastAsia="Times New Roman" w:cs="Arial"/>
          <w:b/>
          <w:lang w:eastAsia="ru-RU"/>
        </w:rPr>
      </w:pPr>
      <w:r>
        <w:rPr>
          <w:rFonts w:ascii="Arial" w:hAnsi="Arial" w:eastAsia="Times New Roman" w:cs="Arial"/>
          <w:b/>
          <w:lang w:eastAsia="ru-RU"/>
        </w:rPr>
      </w:r>
      <w:r>
        <w:rPr>
          <w:rFonts w:ascii="Arial" w:hAnsi="Arial" w:eastAsia="Times New Roman" w:cs="Arial"/>
          <w:b/>
          <w:lang w:eastAsia="ru-RU"/>
        </w:rPr>
      </w:r>
      <w:r>
        <w:rPr>
          <w:rFonts w:ascii="Arial" w:hAnsi="Arial" w:eastAsia="Times New Roman" w:cs="Arial"/>
          <w:b/>
          <w:lang w:eastAsia="ru-RU"/>
        </w:rPr>
      </w:r>
    </w:p>
    <w:p>
      <w:pPr>
        <w:ind w:left="142"/>
        <w:jc w:val="both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</w:r>
    </w:p>
    <w:p>
      <w:pPr>
        <w:ind w:left="142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142"/>
        <w:jc w:val="both"/>
        <w:spacing w:after="0" w:line="240" w:lineRule="auto"/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  <w:t xml:space="preserve">Как действовать в случаях, когда на Госуслугах нет возможности зарегистрироваться по месту жительства или заказать адресную справку</w:t>
      </w: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r>
    </w:p>
    <w:p>
      <w:pPr>
        <w:ind w:left="142"/>
        <w:jc w:val="both"/>
        <w:spacing w:after="0" w:line="240" w:lineRule="auto"/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/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ередко граждане сталкиваются с ситуацией, когда в личном кабинете на портале Госуслуг отсутствует возможность подать заявление о регистрации по месту жительства, заказать адресную справку о зарегистрированных лицах, либо адрес объекта недвижимости указан н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корректно – например, отображается старый адрес, требующий актуализации. На первый взгляд это может выглядеть как технический сбой, но чаще причина кроется в отсутствии или некорректности сведений об адресе в Федеральной информационной адресной системе (ФИ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АС).  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ФИАС — это единая государственная база данных, своего рода официальный справочник адресов по всей России. Именно на её данные опираются другие государственные информационные системы. Если адреса нет в ФИАС, либо сведения 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о нём неактуальны, автоматизированные сервисы не могут «распознать» объект недвижимости — и, как следствие, блокируют подачу заявлений. Разберём по шагам, как действовать в такой ситуации. 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  <w:t xml:space="preserve">Шаг 1.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 Проверьте наличие адреса в ФИАС. Для это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г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о воспользуйтесь официальным сайтом fias.nalog.ru. Самый надёжный способ поиска — по кадастровому номеру объекта недвижимости: он однозначно идентифицирует объект и исключает ошибки из‑за разночтений в названиях. Кадастровый номер можно найти в выписке из 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ЕГРН  или на Публичной кадастровой карте, доступной на портале  пространственных данных «Национальная система пространственных данных» по адресу nspd.gov.ru.  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  <w:t xml:space="preserve">Шаг 2.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 Если адреса в ФИАС нет — инициируйте его присвоение, обратившись в орган местн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ого самоуправления. Подать заявление можно через любой офис МФЦ или в электронном виде через личный кабинет на Госуслугах (услуга «Присвоение адреса объекту недвижимости»). После присвоения адреса и внесения его в ФИАС требуется отразить а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ктуальные сведения в Едином государственном реестре недвижимости (ЕГРН). Для этого подайте в Росреестр заявление о внесении сведений в ЕГРН об адресе объекта. Сделать это можно через офис МФЦ или в личном кабинете на Госуслугах.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/>
          <w:bCs/>
          <w:sz w:val="24"/>
          <w:szCs w:val="24"/>
          <w:highlight w:val="none"/>
        </w:rPr>
        <w:t xml:space="preserve">Шаг 3.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 Если все данные внесены, н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о ошибка сохраняется. В этом случае проблема может быть связана с задержкой обмена данными между реестрами либо с технической ошибкой. Адресную помощь в этом случае можно получить, обратившись в Управление Росреестра по Иркутской области одним из способов: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- через «Платформу обратной связи» на Госуслугах;</w:t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</w:r>
    </w:p>
    <w:p>
      <w:pPr>
        <w:ind w:left="0" w:right="0" w:firstLine="283"/>
        <w:jc w:val="both"/>
        <w:spacing w:after="0" w:line="240" w:lineRule="auto"/>
        <w:rPr>
          <w:rFonts w:ascii="Liberation Sans" w:hAnsi="Liberation Sans" w:cs="Liberation Sans"/>
          <w:b w:val="0"/>
          <w:bCs w:val="0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b w:val="0"/>
          <w:bCs w:val="0"/>
          <w:sz w:val="24"/>
          <w:szCs w:val="24"/>
          <w:highlight w:val="none"/>
        </w:rPr>
        <w:t xml:space="preserve">- по телефону центра бесплатного телефонного консультирования: 8 (3952) 450‑150.</w:t>
      </w:r>
      <w:r>
        <w:rPr>
          <w:rFonts w:ascii="Liberation Sans" w:hAnsi="Liberation Sans" w:cs="Liberation Sans"/>
          <w:b w:val="0"/>
          <w:bCs w:val="0"/>
          <w:sz w:val="24"/>
          <w:szCs w:val="24"/>
          <w:highlight w:val="none"/>
        </w:rPr>
      </w:r>
      <w:r>
        <w:rPr>
          <w:rFonts w:ascii="Liberation Sans" w:hAnsi="Liberation Sans" w:cs="Liberation Sans"/>
          <w:b w:val="0"/>
          <w:bCs w:val="0"/>
          <w:sz w:val="24"/>
          <w:szCs w:val="24"/>
          <w:highlight w:val="none"/>
        </w:rPr>
      </w:r>
    </w:p>
    <w:p>
      <w:pPr>
        <w:jc w:val="both"/>
        <w:spacing w:after="0" w:line="276" w:lineRule="auto"/>
        <w:rPr>
          <w:rFonts w:ascii="Liberation Sans" w:hAnsi="Liberation Sans" w:cs="Liberation Sans"/>
          <w:sz w:val="24"/>
          <w:szCs w:val="24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  <w:r>
        <w:rPr>
          <w:rFonts w:ascii="Liberation Sans" w:hAnsi="Liberation Sans" w:cs="Liberation Sans"/>
          <w:sz w:val="24"/>
          <w:szCs w:val="24"/>
        </w:rPr>
      </w:r>
    </w:p>
    <w:p>
      <w:pPr>
        <w:ind w:left="142"/>
        <w:jc w:val="both"/>
        <w:spacing w:line="240" w:lineRule="auto"/>
        <w:tabs>
          <w:tab w:val="left" w:pos="567" w:leader="none"/>
        </w:tabs>
        <w:rPr>
          <w:rFonts w:ascii="Liberation Sans" w:hAnsi="Liberation Sans" w:cs="Liberation Sans"/>
          <w:bCs/>
          <w:i/>
          <w:color w:val="202122"/>
          <w:sz w:val="24"/>
          <w:szCs w:val="24"/>
        </w:rPr>
      </w:pPr>
      <w:r>
        <w:rPr>
          <w:rFonts w:ascii="Liberation Sans" w:hAnsi="Liberation Sans" w:eastAsia="Liberation Sans" w:cs="Liberation Sans"/>
          <w:i/>
          <w:color w:val="202122"/>
          <w:sz w:val="24"/>
          <w:szCs w:val="24"/>
          <w:highlight w:val="none"/>
          <w:shd w:val="clear" w:color="auto" w:fill="ffffff"/>
        </w:rPr>
      </w:r>
      <w:r>
        <w:rPr>
          <w:rFonts w:ascii="Liberation Sans" w:hAnsi="Liberation Sans" w:cs="Liberation Sans"/>
          <w:bCs/>
          <w:i/>
          <w:color w:val="202122"/>
          <w:sz w:val="24"/>
          <w:szCs w:val="24"/>
        </w:rPr>
      </w:r>
      <w:r>
        <w:rPr>
          <w:rFonts w:ascii="Liberation Sans" w:hAnsi="Liberation Sans" w:cs="Liberation Sans"/>
          <w:bCs/>
          <w:i/>
          <w:color w:val="202122"/>
          <w:sz w:val="24"/>
          <w:szCs w:val="24"/>
        </w:rPr>
      </w:r>
    </w:p>
    <w:p>
      <w:pPr>
        <w:ind w:left="142"/>
        <w:jc w:val="both"/>
        <w:spacing w:line="240" w:lineRule="auto"/>
        <w:tabs>
          <w:tab w:val="left" w:pos="567" w:leader="none"/>
        </w:tabs>
        <w:rPr>
          <w:rFonts w:ascii="Liberation Sans" w:hAnsi="Liberation Sans" w:eastAsia="Liberation Sans" w:cs="Liberation Sans"/>
          <w:bCs/>
          <w:i/>
          <w:color w:val="202122"/>
          <w:sz w:val="24"/>
          <w:szCs w:val="24"/>
          <w:highlight w:val="none"/>
          <w:shd w:val="clear" w:color="auto" w:fill="ffffff"/>
        </w:rPr>
      </w:pPr>
      <w:r>
        <w:rPr>
          <w:rFonts w:ascii="Liberation Sans" w:hAnsi="Liberation Sans" w:eastAsia="Liberation Sans" w:cs="Liberation Sans"/>
          <w:i/>
          <w:color w:val="202122"/>
          <w:sz w:val="24"/>
          <w:szCs w:val="24"/>
          <w:shd w:val="clear" w:color="auto" w:fill="ffffff"/>
        </w:rPr>
        <w:t xml:space="preserve">Пресс-служба Управления Росреестра по Иркутской области</w:t>
      </w:r>
      <w:r>
        <w:rPr>
          <w:rFonts w:ascii="Liberation Sans" w:hAnsi="Liberation Sans" w:eastAsia="Liberation Sans" w:cs="Liberation Sans"/>
          <w:bCs/>
          <w:i/>
          <w:color w:val="202122"/>
          <w:sz w:val="24"/>
          <w:szCs w:val="24"/>
          <w:highlight w:val="none"/>
          <w:shd w:val="clear" w:color="auto" w:fill="ffffff"/>
        </w:rPr>
      </w:r>
      <w:r>
        <w:rPr>
          <w:rFonts w:ascii="Liberation Sans" w:hAnsi="Liberation Sans" w:eastAsia="Liberation Sans" w:cs="Liberation Sans"/>
          <w:bCs/>
          <w:i/>
          <w:color w:val="202122"/>
          <w:sz w:val="24"/>
          <w:szCs w:val="24"/>
          <w:highlight w:val="none"/>
          <w:shd w:val="clear" w:color="auto" w:fill="ffffff"/>
        </w:rPr>
      </w:r>
    </w:p>
    <w:p>
      <w:pPr>
        <w:contextualSpacing/>
        <w:ind w:firstLine="426"/>
        <w:jc w:val="both"/>
        <w:spacing w:after="0" w:line="240" w:lineRule="auto"/>
        <w:rPr>
          <w:rFonts w:ascii="Arial" w:hAnsi="Arial" w:eastAsia="Times New Roman" w:cs="Arial"/>
          <w:lang w:eastAsia="ru-RU"/>
        </w:rPr>
      </w:pPr>
      <w:r>
        <w:rPr>
          <w:rFonts w:ascii="Arial" w:hAnsi="Arial" w:eastAsia="Times New Roman" w:cs="Arial"/>
          <w:lang w:eastAsia="ru-RU"/>
        </w:rPr>
      </w:r>
      <w:r>
        <w:rPr>
          <w:rFonts w:ascii="Arial" w:hAnsi="Arial" w:eastAsia="Times New Roman" w:cs="Arial"/>
          <w:lang w:eastAsia="ru-RU"/>
        </w:rPr>
      </w:r>
      <w:r>
        <w:rPr>
          <w:rFonts w:ascii="Arial" w:hAnsi="Arial" w:eastAsia="Times New Roman" w:cs="Arial"/>
          <w:lang w:eastAsia="ru-RU"/>
        </w:rPr>
      </w:r>
    </w:p>
    <w:p>
      <w:pPr>
        <w:spacing w:line="240" w:lineRule="auto"/>
        <w:tabs>
          <w:tab w:val="left" w:pos="567" w:leader="none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spacing w:line="240" w:lineRule="auto"/>
        <w:tabs>
          <w:tab w:val="left" w:pos="567" w:leader="none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707" w:bottom="568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29"/>
    <w:next w:val="829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0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29"/>
    <w:next w:val="829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0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0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0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0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0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0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29"/>
    <w:next w:val="829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0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29"/>
    <w:next w:val="829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0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29"/>
    <w:next w:val="829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0"/>
    <w:link w:val="675"/>
    <w:uiPriority w:val="10"/>
    <w:rPr>
      <w:sz w:val="48"/>
      <w:szCs w:val="48"/>
    </w:rPr>
  </w:style>
  <w:style w:type="paragraph" w:styleId="677">
    <w:name w:val="Subtitle"/>
    <w:basedOn w:val="829"/>
    <w:next w:val="829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0"/>
    <w:link w:val="677"/>
    <w:uiPriority w:val="11"/>
    <w:rPr>
      <w:sz w:val="24"/>
      <w:szCs w:val="24"/>
    </w:rPr>
  </w:style>
  <w:style w:type="paragraph" w:styleId="679">
    <w:name w:val="Quote"/>
    <w:basedOn w:val="829"/>
    <w:next w:val="829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29"/>
    <w:next w:val="829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0"/>
    <w:link w:val="841"/>
    <w:uiPriority w:val="99"/>
  </w:style>
  <w:style w:type="character" w:styleId="684">
    <w:name w:val="Footer Char"/>
    <w:basedOn w:val="830"/>
    <w:link w:val="843"/>
    <w:uiPriority w:val="99"/>
  </w:style>
  <w:style w:type="paragraph" w:styleId="685">
    <w:name w:val="Caption"/>
    <w:basedOn w:val="829"/>
    <w:next w:val="829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843"/>
    <w:uiPriority w:val="99"/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Balloon Text"/>
    <w:basedOn w:val="829"/>
    <w:link w:val="83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4" w:customStyle="1">
    <w:name w:val="Текст выноски Знак"/>
    <w:basedOn w:val="830"/>
    <w:link w:val="833"/>
    <w:uiPriority w:val="99"/>
    <w:semiHidden/>
    <w:rPr>
      <w:rFonts w:ascii="Segoe UI" w:hAnsi="Segoe UI" w:cs="Segoe UI"/>
      <w:sz w:val="18"/>
      <w:szCs w:val="18"/>
    </w:rPr>
  </w:style>
  <w:style w:type="character" w:styleId="835">
    <w:name w:val="Hyperlink"/>
    <w:basedOn w:val="830"/>
    <w:uiPriority w:val="99"/>
    <w:unhideWhenUsed/>
    <w:rPr>
      <w:color w:val="0563c1" w:themeColor="hyperlink"/>
      <w:u w:val="single"/>
    </w:rPr>
  </w:style>
  <w:style w:type="paragraph" w:styleId="836">
    <w:name w:val="List Paragraph"/>
    <w:basedOn w:val="829"/>
    <w:uiPriority w:val="34"/>
    <w:qFormat/>
    <w:pPr>
      <w:contextualSpacing/>
      <w:ind w:left="720"/>
    </w:pPr>
  </w:style>
  <w:style w:type="table" w:styleId="837">
    <w:name w:val="Table Grid"/>
    <w:basedOn w:val="83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38" w:customStyle="1">
    <w:name w:val="object"/>
    <w:basedOn w:val="830"/>
  </w:style>
  <w:style w:type="paragraph" w:styleId="839">
    <w:name w:val="Normal (Web)"/>
    <w:basedOn w:val="82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0">
    <w:name w:val="Emphasis"/>
    <w:basedOn w:val="830"/>
    <w:uiPriority w:val="20"/>
    <w:qFormat/>
    <w:rPr>
      <w:i/>
      <w:iCs/>
    </w:rPr>
  </w:style>
  <w:style w:type="paragraph" w:styleId="841">
    <w:name w:val="Header"/>
    <w:basedOn w:val="829"/>
    <w:link w:val="84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2" w:customStyle="1">
    <w:name w:val="Верхний колонтитул Знак"/>
    <w:basedOn w:val="830"/>
    <w:link w:val="841"/>
    <w:uiPriority w:val="99"/>
  </w:style>
  <w:style w:type="paragraph" w:styleId="843">
    <w:name w:val="Footer"/>
    <w:basedOn w:val="829"/>
    <w:link w:val="84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4" w:customStyle="1">
    <w:name w:val="Нижний колонтитул Знак"/>
    <w:basedOn w:val="830"/>
    <w:link w:val="843"/>
    <w:uiPriority w:val="99"/>
  </w:style>
  <w:style w:type="paragraph" w:styleId="845">
    <w:name w:val="Body Text"/>
    <w:basedOn w:val="829"/>
    <w:link w:val="847"/>
    <w:pPr>
      <w:ind w:firstLine="851"/>
      <w:jc w:val="both"/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character" w:styleId="846" w:customStyle="1">
    <w:name w:val="Основной текст Знак"/>
    <w:basedOn w:val="830"/>
    <w:uiPriority w:val="99"/>
    <w:semiHidden/>
  </w:style>
  <w:style w:type="character" w:styleId="847" w:customStyle="1">
    <w:name w:val="Основной текст Знак1"/>
    <w:basedOn w:val="830"/>
    <w:link w:val="845"/>
    <w:rPr>
      <w:rFonts w:ascii="Arial" w:hAnsi="Arial" w:eastAsia="Times New Roman" w:cs="Arial"/>
      <w:sz w:val="24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Гоманенко Галина Васильевна</dc:creator>
  <cp:keywords>Единый ресурс о земле и недвижимости</cp:keywords>
  <dc:description/>
  <cp:lastModifiedBy>Гоманенко</cp:lastModifiedBy>
  <cp:revision>48</cp:revision>
  <dcterms:created xsi:type="dcterms:W3CDTF">2022-09-29T02:49:00Z</dcterms:created>
  <dcterms:modified xsi:type="dcterms:W3CDTF">2026-08-25T06:43:50Z</dcterms:modified>
</cp:coreProperties>
</file>